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南昌大学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鄢祥辉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2024-04-18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